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D4D" w14:textId="77777777" w:rsidR="009D4B59" w:rsidRDefault="009D4B59" w:rsidP="00764C9F">
      <w:pPr>
        <w:jc w:val="center"/>
        <w:rPr>
          <w:bCs/>
          <w:color w:val="002060"/>
          <w:sz w:val="20"/>
          <w:szCs w:val="20"/>
        </w:rPr>
      </w:pPr>
    </w:p>
    <w:p w14:paraId="5DBD0D4E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4F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0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1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2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3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4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5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6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7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479D02B8" w14:textId="77777777" w:rsidR="0064756B" w:rsidRPr="00D91F45" w:rsidRDefault="0064756B" w:rsidP="0064756B">
      <w:pPr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D91F45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14:paraId="6D7E3A03" w14:textId="77777777" w:rsidR="0064756B" w:rsidRPr="00B152DD" w:rsidRDefault="0064756B" w:rsidP="0064756B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1E8477E2" w14:textId="77777777" w:rsidR="0064756B" w:rsidRDefault="0064756B" w:rsidP="0064756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AF7D711" w14:textId="77777777" w:rsidR="0064756B" w:rsidRDefault="0064756B" w:rsidP="0064756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na poszczególne oceny</w:t>
      </w:r>
    </w:p>
    <w:p w14:paraId="71028954" w14:textId="77777777" w:rsidR="0064756B" w:rsidRDefault="0064756B" w:rsidP="0064756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095B59C6" w14:textId="5120D3B4" w:rsidR="0064756B" w:rsidRDefault="0064756B" w:rsidP="0064756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5DBD0D64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5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6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7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8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9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A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B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C" w14:textId="77777777" w:rsidR="00EB4E5E" w:rsidRPr="00B152DD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D" w14:textId="73667A27" w:rsidR="00EB4E5E" w:rsidRPr="00B152DD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E" w14:textId="77777777" w:rsidR="006254FC" w:rsidRDefault="006254FC" w:rsidP="009D4B5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DBD0DB8" w14:textId="77777777" w:rsidR="009D4B59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446AA63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6B16863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4457FF39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7EDA45E2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8E5DAC6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3D2C7918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3731FB5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3345C837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EC64E97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83795FB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491CEC0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BBC17A1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C51029C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E286C36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79379962" w14:textId="77777777" w:rsidR="0064756B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E01997A" w14:textId="77777777" w:rsidR="0064756B" w:rsidRPr="00A00576" w:rsidRDefault="0064756B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B9" w14:textId="77777777"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lastRenderedPageBreak/>
        <w:t>Kryteria wystawiania oceny po I semestrze oraz na koniec roku szkolnego</w:t>
      </w:r>
    </w:p>
    <w:p w14:paraId="5DBD0DBA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DBD0DBB" w14:textId="77777777" w:rsidR="001F08BB" w:rsidRPr="001F08BB" w:rsidRDefault="009D4B59" w:rsidP="001F08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5DBD0DBC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14:paraId="5DBD0DBD" w14:textId="77777777" w:rsidR="009D4B59" w:rsidRPr="00A00576" w:rsidRDefault="009D4B59" w:rsidP="009D4B59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14:paraId="5DBD0DBE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sposobach sprawdzania osiągnięć edukacyjnych uczniów,</w:t>
      </w:r>
    </w:p>
    <w:p w14:paraId="5DBD0DBF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warunkach i trybie uzyskania wyższej niż przewidywana oceny klasyfikacyjnej,</w:t>
      </w:r>
    </w:p>
    <w:p w14:paraId="5DBD0DC0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trybie odwoływania od wystawionej oceny klasyfikacyjnej.</w:t>
      </w:r>
    </w:p>
    <w:p w14:paraId="5DBD0DC1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</w:t>
      </w:r>
      <w:r w:rsidR="005F717D">
        <w:rPr>
          <w:rFonts w:ascii="Times New Roman" w:hAnsi="Times New Roman"/>
          <w:color w:val="000000"/>
          <w:sz w:val="20"/>
          <w:szCs w:val="20"/>
        </w:rPr>
        <w:t>Z</w:t>
      </w:r>
      <w:r w:rsidRPr="00A00576">
        <w:rPr>
          <w:rFonts w:ascii="Times New Roman" w:hAnsi="Times New Roman"/>
          <w:color w:val="000000"/>
          <w:sz w:val="20"/>
          <w:szCs w:val="20"/>
        </w:rPr>
        <w:t>O.</w:t>
      </w:r>
    </w:p>
    <w:p w14:paraId="5DBD0DD5" w14:textId="77777777" w:rsidR="009D4B59" w:rsidRPr="008503CA" w:rsidRDefault="009D4B59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14:paraId="5DBD0DD6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14:paraId="5DBD0DD7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>Wymienione poziomy wymagań odpowiadają w przybliżeniu ocenom szkolnym. Naucz</w:t>
      </w:r>
      <w:r w:rsidR="007F3C25">
        <w:t>yciel, określając te </w:t>
      </w:r>
      <w:r w:rsidRPr="008503CA">
        <w:t>poziomy, powinien sprecyzować, czy opanowania konkretnych umiejętności l</w:t>
      </w:r>
      <w:r w:rsidR="007F3C25">
        <w:t>ub wiadomości będzie wymagał na </w:t>
      </w:r>
      <w:r w:rsidRPr="008503CA">
        <w:t>ocenę dopuszczającą (2), dostateczną (3), dobrą (4), bardzo dobrą (5) czy celującą (6).</w:t>
      </w:r>
    </w:p>
    <w:p w14:paraId="5DBD0DD8" w14:textId="77777777" w:rsidR="009D4B59" w:rsidRPr="008503CA" w:rsidRDefault="009D4B59" w:rsidP="009D4B59">
      <w:pPr>
        <w:spacing w:line="276" w:lineRule="auto"/>
        <w:rPr>
          <w:sz w:val="20"/>
          <w:szCs w:val="20"/>
        </w:rPr>
      </w:pPr>
    </w:p>
    <w:p w14:paraId="5DBD0DD9" w14:textId="77777777" w:rsidR="005F717D" w:rsidRPr="008503CA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14:paraId="5DBD0DDA" w14:textId="77777777" w:rsid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</w:t>
      </w:r>
      <w:r w:rsidR="007F3C25">
        <w:rPr>
          <w:sz w:val="20"/>
          <w:szCs w:val="20"/>
        </w:rPr>
        <w:t>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14:paraId="5DBD0DDB" w14:textId="77777777" w:rsidR="005F717D" w:rsidRP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 xml:space="preserve">wymagania z poziomów K i P oraz </w:t>
      </w:r>
      <w:r w:rsidR="00D048F1">
        <w:rPr>
          <w:sz w:val="20"/>
          <w:szCs w:val="20"/>
        </w:rPr>
        <w:t>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</w:t>
      </w:r>
      <w:r w:rsidR="007F3C25">
        <w:rPr>
          <w:sz w:val="20"/>
          <w:szCs w:val="20"/>
        </w:rPr>
        <w:t xml:space="preserve">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14:paraId="5DBD0DDC" w14:textId="77777777" w:rsid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 w:rsidR="00D048F1"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</w:t>
      </w:r>
      <w:r w:rsidR="00D048F1" w:rsidRPr="00D048F1">
        <w:rPr>
          <w:sz w:val="20"/>
          <w:szCs w:val="20"/>
        </w:rPr>
        <w:t xml:space="preserve"> dotyczące zadań problemowych</w:t>
      </w:r>
      <w:r w:rsidRPr="00D048F1">
        <w:rPr>
          <w:sz w:val="20"/>
          <w:szCs w:val="20"/>
        </w:rPr>
        <w:t>, o wyższym stopniu trudności.</w:t>
      </w:r>
    </w:p>
    <w:p w14:paraId="5DBD0DDD" w14:textId="77777777" w:rsidR="009D4B59" w:rsidRP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</w:t>
      </w:r>
      <w:r w:rsidR="00D048F1" w:rsidRPr="00D048F1">
        <w:rPr>
          <w:b/>
          <w:sz w:val="20"/>
          <w:szCs w:val="20"/>
        </w:rPr>
        <w:t>(</w:t>
      </w:r>
      <w:r w:rsidRPr="00D048F1">
        <w:rPr>
          <w:b/>
          <w:sz w:val="20"/>
          <w:szCs w:val="20"/>
        </w:rPr>
        <w:t>W</w:t>
      </w:r>
      <w:r w:rsidR="00D048F1" w:rsidRPr="00D048F1">
        <w:rPr>
          <w:b/>
          <w:sz w:val="20"/>
          <w:szCs w:val="20"/>
        </w:rPr>
        <w:t xml:space="preserve">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="00D048F1" w:rsidRPr="00D048F1">
        <w:rPr>
          <w:sz w:val="20"/>
          <w:szCs w:val="20"/>
        </w:rPr>
        <w:t>stosowanie znanych wiadomości i umiejętności w sytuacjach trudnych, nietypowych, złożonych</w:t>
      </w:r>
      <w:r w:rsidR="00BE1EE6">
        <w:rPr>
          <w:sz w:val="20"/>
          <w:szCs w:val="20"/>
        </w:rPr>
        <w:t>.</w:t>
      </w:r>
    </w:p>
    <w:p w14:paraId="5DBD0DDE" w14:textId="77777777" w:rsidR="00D048F1" w:rsidRDefault="00D048F1" w:rsidP="009D4B59">
      <w:pPr>
        <w:spacing w:after="120" w:line="276" w:lineRule="auto"/>
        <w:jc w:val="both"/>
        <w:rPr>
          <w:sz w:val="20"/>
          <w:szCs w:val="20"/>
        </w:rPr>
      </w:pPr>
    </w:p>
    <w:p w14:paraId="5DBD0DDF" w14:textId="77777777" w:rsidR="009D4B59" w:rsidRPr="008503CA" w:rsidRDefault="00D048F1" w:rsidP="009D4B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="009D4B59" w:rsidRPr="008503CA">
        <w:rPr>
          <w:sz w:val="20"/>
          <w:szCs w:val="20"/>
        </w:rPr>
        <w:t xml:space="preserve"> na poszczególne oceny szkolne:</w:t>
      </w:r>
    </w:p>
    <w:p w14:paraId="5DBD0DE0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14:paraId="5DBD0DE1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14:paraId="5DBD0DE2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14:paraId="5DBD0DE3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14:paraId="5DBD0DE4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14:paraId="5DBD0DE5" w14:textId="77777777" w:rsidR="009D4B59" w:rsidRPr="008503CA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14:paraId="5DBD0DEA" w14:textId="77777777"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14:paraId="5DBD0DEB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06F0" w14:textId="77777777" w:rsidR="00776D0B" w:rsidRDefault="00776D0B" w:rsidP="001F167E">
      <w:r>
        <w:separator/>
      </w:r>
    </w:p>
  </w:endnote>
  <w:endnote w:type="continuationSeparator" w:id="0">
    <w:p w14:paraId="07C237A6" w14:textId="77777777" w:rsidR="00776D0B" w:rsidRDefault="00776D0B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A353" w14:textId="77777777" w:rsidR="00776D0B" w:rsidRDefault="00776D0B" w:rsidP="001F167E">
      <w:r>
        <w:separator/>
      </w:r>
    </w:p>
  </w:footnote>
  <w:footnote w:type="continuationSeparator" w:id="0">
    <w:p w14:paraId="227BFC54" w14:textId="77777777" w:rsidR="00776D0B" w:rsidRDefault="00776D0B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515401">
    <w:abstractNumId w:val="4"/>
  </w:num>
  <w:num w:numId="2" w16cid:durableId="1450011831">
    <w:abstractNumId w:val="2"/>
  </w:num>
  <w:num w:numId="3" w16cid:durableId="1293708753">
    <w:abstractNumId w:val="3"/>
  </w:num>
  <w:num w:numId="4" w16cid:durableId="175655034">
    <w:abstractNumId w:val="6"/>
  </w:num>
  <w:num w:numId="5" w16cid:durableId="1555699127">
    <w:abstractNumId w:val="5"/>
  </w:num>
  <w:num w:numId="6" w16cid:durableId="1074551389">
    <w:abstractNumId w:val="7"/>
  </w:num>
  <w:num w:numId="7" w16cid:durableId="15618434">
    <w:abstractNumId w:val="1"/>
  </w:num>
  <w:num w:numId="8" w16cid:durableId="113575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4756B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76D0B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29138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Aleksandra Gajewska</cp:lastModifiedBy>
  <cp:revision>2</cp:revision>
  <cp:lastPrinted>2018-08-24T13:12:00Z</cp:lastPrinted>
  <dcterms:created xsi:type="dcterms:W3CDTF">2024-09-02T14:53:00Z</dcterms:created>
  <dcterms:modified xsi:type="dcterms:W3CDTF">2024-09-02T14:53:00Z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